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BD" w:rsidRDefault="00BC34D9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Комитет земельно-имущественных отношений и градостроительной деятельности Альметьевского муниципального района Республики Татарстан информирует об итогах открытого  аукциона на право заключения договора</w:t>
      </w:r>
      <w:r>
        <w:rPr>
          <w:rFonts w:cs="Times New Roman"/>
        </w:rPr>
        <w:t xml:space="preserve"> аренды земельного участка</w:t>
      </w:r>
      <w:r>
        <w:rPr>
          <w:rFonts w:cs="Times New Roman"/>
        </w:rPr>
        <w:t xml:space="preserve"> из земель населенных </w:t>
      </w:r>
      <w:r>
        <w:rPr>
          <w:rFonts w:cs="Times New Roman"/>
        </w:rPr>
        <w:t>пунктов, назначенного на 01</w:t>
      </w:r>
      <w:r>
        <w:rPr>
          <w:rFonts w:cs="Times New Roman"/>
        </w:rPr>
        <w:t xml:space="preserve"> апреля</w:t>
      </w:r>
      <w:r>
        <w:rPr>
          <w:rFonts w:cs="Times New Roman"/>
        </w:rPr>
        <w:t xml:space="preserve"> 2022 г. на 10-00 часов, в соответствии с постановлением Исполнительного комитета </w:t>
      </w:r>
      <w:r>
        <w:rPr>
          <w:rFonts w:cs="Times New Roman"/>
        </w:rPr>
        <w:t>Альметьевского муниципального района от  «29</w:t>
      </w:r>
      <w:r>
        <w:rPr>
          <w:rFonts w:cs="Times New Roman"/>
        </w:rPr>
        <w:t>» декабря 2021 г. № 1957</w:t>
      </w:r>
      <w:r>
        <w:rPr>
          <w:rFonts w:cs="Times New Roman"/>
        </w:rPr>
        <w:t>:</w:t>
      </w:r>
      <w:proofErr w:type="gramEnd"/>
    </w:p>
    <w:p w:rsidR="00D74BBD" w:rsidRDefault="00D74BBD">
      <w:pPr>
        <w:jc w:val="both"/>
        <w:rPr>
          <w:rFonts w:cs="Times New Roman"/>
        </w:rPr>
      </w:pPr>
    </w:p>
    <w:p w:rsidR="00D74BBD" w:rsidRDefault="00BC34D9">
      <w:pPr>
        <w:jc w:val="both"/>
      </w:pPr>
      <w:r>
        <w:t xml:space="preserve">На </w:t>
      </w:r>
      <w:r>
        <w:t>основании п.14 ст. 39.12 Земельного кодекса Российской Федерации: в случае, если по окончании срока подачи заявок на участие в аукционе на лот подана только одна заявка, аукцион по данному лоту признается несостоявшимся: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6865"/>
        <w:gridCol w:w="2511"/>
        <w:gridCol w:w="2511"/>
        <w:gridCol w:w="1925"/>
      </w:tblGrid>
      <w:tr w:rsidR="00D74BBD">
        <w:tc>
          <w:tcPr>
            <w:tcW w:w="329" w:type="pct"/>
            <w:vAlign w:val="center"/>
          </w:tcPr>
          <w:p w:rsidR="00D74BBD" w:rsidRDefault="00D74B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D74BBD" w:rsidRDefault="00BC34D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№ лота</w:t>
            </w:r>
          </w:p>
        </w:tc>
        <w:tc>
          <w:tcPr>
            <w:tcW w:w="2321" w:type="pct"/>
            <w:vAlign w:val="center"/>
          </w:tcPr>
          <w:p w:rsidR="00D74BBD" w:rsidRDefault="00D74B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D74BBD" w:rsidRDefault="00BC34D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49" w:type="pct"/>
            <w:vAlign w:val="center"/>
          </w:tcPr>
          <w:p w:rsidR="00D74BBD" w:rsidRDefault="00BC34D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Срок, на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который заключается договор аренды (лет)</w:t>
            </w:r>
          </w:p>
        </w:tc>
        <w:tc>
          <w:tcPr>
            <w:tcW w:w="849" w:type="pct"/>
            <w:vAlign w:val="center"/>
          </w:tcPr>
          <w:p w:rsidR="00D74BBD" w:rsidRDefault="00BC34D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ФИО</w:t>
            </w:r>
          </w:p>
          <w:p w:rsidR="00D74BBD" w:rsidRDefault="00BC34D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(победителя)</w:t>
            </w:r>
          </w:p>
          <w:p w:rsidR="00D74BBD" w:rsidRDefault="00BC34D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единственного участника</w:t>
            </w:r>
          </w:p>
        </w:tc>
        <w:tc>
          <w:tcPr>
            <w:tcW w:w="651" w:type="pct"/>
            <w:vAlign w:val="center"/>
          </w:tcPr>
          <w:p w:rsidR="00D74BBD" w:rsidRDefault="00BC34D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Размер ежегодной арендной платы, руб.</w:t>
            </w:r>
          </w:p>
        </w:tc>
      </w:tr>
      <w:tr w:rsidR="00D74BBD">
        <w:trPr>
          <w:trHeight w:val="1115"/>
        </w:trPr>
        <w:tc>
          <w:tcPr>
            <w:tcW w:w="329" w:type="pct"/>
            <w:vAlign w:val="center"/>
          </w:tcPr>
          <w:p w:rsidR="00D74BBD" w:rsidRDefault="00BC34D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321" w:type="pct"/>
            <w:vAlign w:val="center"/>
          </w:tcPr>
          <w:p w:rsidR="00D74BBD" w:rsidRDefault="00BC34D9" w:rsidP="00BC34D9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C34D9">
              <w:rPr>
                <w:rFonts w:eastAsia="Times New Roman" w:cs="Times New Roman"/>
                <w:sz w:val="22"/>
                <w:szCs w:val="22"/>
              </w:rPr>
              <w:t>Земельный участок, площ</w:t>
            </w:r>
            <w:r>
              <w:rPr>
                <w:rFonts w:eastAsia="Times New Roman" w:cs="Times New Roman"/>
                <w:sz w:val="22"/>
                <w:szCs w:val="22"/>
              </w:rPr>
              <w:t>адью</w:t>
            </w:r>
            <w:r w:rsidRPr="00BC34D9">
              <w:rPr>
                <w:rFonts w:eastAsia="Times New Roman" w:cs="Times New Roman"/>
                <w:sz w:val="22"/>
                <w:szCs w:val="22"/>
              </w:rPr>
              <w:t xml:space="preserve"> 1 286 </w:t>
            </w:r>
            <w:proofErr w:type="spellStart"/>
            <w:r w:rsidRPr="00BC34D9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BC34D9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BC34D9">
              <w:rPr>
                <w:rFonts w:eastAsia="Times New Roman" w:cs="Times New Roman"/>
                <w:sz w:val="22"/>
                <w:szCs w:val="22"/>
              </w:rPr>
              <w:t xml:space="preserve">, относящийся к землям населенных пунктов, кадастровый № 16:45:060102:51, вид разрешенного использования -  под индивидуальное жилищное строительство, расположенное  по адресу: </w:t>
            </w:r>
            <w:proofErr w:type="spellStart"/>
            <w:r w:rsidRPr="00BC34D9">
              <w:rPr>
                <w:rFonts w:eastAsia="Times New Roman" w:cs="Times New Roman"/>
                <w:sz w:val="22"/>
                <w:szCs w:val="22"/>
              </w:rPr>
              <w:t>Альме</w:t>
            </w:r>
            <w:r>
              <w:rPr>
                <w:rFonts w:eastAsia="Times New Roman" w:cs="Times New Roman"/>
                <w:sz w:val="22"/>
                <w:szCs w:val="22"/>
              </w:rPr>
              <w:t>тьевский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муниципальный район, </w:t>
            </w:r>
            <w:r w:rsidRPr="00BC34D9">
              <w:rPr>
                <w:rFonts w:eastAsia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BC34D9">
              <w:rPr>
                <w:rFonts w:eastAsia="Times New Roman" w:cs="Times New Roman"/>
                <w:sz w:val="22"/>
                <w:szCs w:val="22"/>
              </w:rPr>
              <w:t>Тихоновка</w:t>
            </w:r>
            <w:proofErr w:type="spellEnd"/>
            <w:r w:rsidRPr="00BC34D9">
              <w:rPr>
                <w:rFonts w:eastAsia="Times New Roman" w:cs="Times New Roman"/>
                <w:sz w:val="22"/>
                <w:szCs w:val="22"/>
              </w:rPr>
              <w:t>, ул. Маяковского, з/у 56</w:t>
            </w:r>
          </w:p>
        </w:tc>
        <w:tc>
          <w:tcPr>
            <w:tcW w:w="849" w:type="pct"/>
            <w:vAlign w:val="center"/>
          </w:tcPr>
          <w:p w:rsidR="00D74BBD" w:rsidRDefault="00BC34D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849" w:type="pct"/>
            <w:vAlign w:val="center"/>
          </w:tcPr>
          <w:p w:rsidR="00D74BBD" w:rsidRDefault="00BC34D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C34D9">
              <w:rPr>
                <w:rFonts w:eastAsia="Times New Roman" w:cs="Times New Roman"/>
                <w:sz w:val="22"/>
                <w:szCs w:val="22"/>
              </w:rPr>
              <w:t xml:space="preserve">Товмасян </w:t>
            </w:r>
            <w:proofErr w:type="spellStart"/>
            <w:r w:rsidRPr="00BC34D9">
              <w:rPr>
                <w:rFonts w:eastAsia="Times New Roman" w:cs="Times New Roman"/>
                <w:sz w:val="22"/>
                <w:szCs w:val="22"/>
              </w:rPr>
              <w:t>Грануш</w:t>
            </w:r>
            <w:proofErr w:type="spellEnd"/>
            <w:r w:rsidRPr="00BC34D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C34D9">
              <w:rPr>
                <w:rFonts w:eastAsia="Times New Roman" w:cs="Times New Roman"/>
                <w:sz w:val="22"/>
                <w:szCs w:val="22"/>
              </w:rPr>
              <w:t>Василовна</w:t>
            </w:r>
            <w:proofErr w:type="spellEnd"/>
          </w:p>
        </w:tc>
        <w:tc>
          <w:tcPr>
            <w:tcW w:w="651" w:type="pct"/>
            <w:vAlign w:val="center"/>
          </w:tcPr>
          <w:p w:rsidR="00D74BBD" w:rsidRDefault="00BC34D9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C34D9">
              <w:rPr>
                <w:rFonts w:eastAsia="Times New Roman" w:cs="Times New Roman"/>
                <w:sz w:val="22"/>
                <w:szCs w:val="22"/>
              </w:rPr>
              <w:t>211 300</w:t>
            </w:r>
          </w:p>
        </w:tc>
      </w:tr>
    </w:tbl>
    <w:p w:rsidR="00D74BBD" w:rsidRDefault="00D74BBD"/>
    <w:p w:rsidR="00D74BBD" w:rsidRDefault="00BC34D9">
      <w:pPr>
        <w:jc w:val="both"/>
      </w:pPr>
      <w:r>
        <w:t xml:space="preserve">Если единственная заявка на </w:t>
      </w:r>
      <w:r>
        <w:t>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с единственны</w:t>
      </w:r>
      <w:bookmarkStart w:id="0" w:name="_GoBack"/>
      <w:bookmarkEnd w:id="0"/>
      <w:r>
        <w:t>м участником заключается договор аренды земельного участка по начальной цене предмета ау</w:t>
      </w:r>
      <w:r>
        <w:t xml:space="preserve">кциона. </w:t>
      </w:r>
    </w:p>
    <w:sectPr w:rsidR="00D74BBD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BD"/>
    <w:rsid w:val="00BC34D9"/>
    <w:rsid w:val="00D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2020-08-14T06:38:00Z</dcterms:created>
  <dcterms:modified xsi:type="dcterms:W3CDTF">2022-03-29T05:59:00Z</dcterms:modified>
</cp:coreProperties>
</file>